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303445A"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w:t>
      </w:r>
      <w:r w:rsidR="00E72BE2">
        <w:rPr>
          <w:rFonts w:cs="Arial"/>
          <w:b/>
          <w:sz w:val="24"/>
          <w:szCs w:val="24"/>
        </w:rPr>
        <w:t>2633</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777712A5" w14:textId="4E7A4599" w:rsidR="00F35586" w:rsidRDefault="00675C27" w:rsidP="00F35586">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D46F4" w:rsidRPr="00ED46F4">
        <w:rPr>
          <w:rFonts w:cs="Arial"/>
          <w:sz w:val="22"/>
        </w:rPr>
        <w:t>Band n100 protection by band n8</w:t>
      </w:r>
    </w:p>
    <w:p w14:paraId="03C4DA88" w14:textId="5E034173" w:rsidR="00BC38C0" w:rsidRPr="00C64412" w:rsidRDefault="00675C27" w:rsidP="00F35586">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ED46F4" w:rsidRPr="00ED46F4">
        <w:rPr>
          <w:rFonts w:cs="Arial"/>
          <w:sz w:val="22"/>
        </w:rPr>
        <w:t>8.17.2</w:t>
      </w:r>
      <w:r w:rsidR="00ED46F4" w:rsidRPr="00ED46F4">
        <w:rPr>
          <w:rFonts w:cs="Arial"/>
          <w:sz w:val="22"/>
        </w:rPr>
        <w:tab/>
        <w:t>UE RF requirements</w:t>
      </w:r>
      <w:r w:rsidR="00ED46F4" w:rsidRPr="00ED46F4">
        <w:rPr>
          <w:rFonts w:cs="Arial"/>
          <w:sz w:val="22"/>
        </w:rPr>
        <w:tab/>
        <w:t>[NR_RAIL_HPUE_n100_n101-Core</w:t>
      </w:r>
      <w:r w:rsidR="00F35586" w:rsidRPr="00F35586">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FA8BF11" w:rsidR="00842311" w:rsidRPr="00B734F1" w:rsidRDefault="00ED46F4" w:rsidP="00825624">
      <w:pPr>
        <w:spacing w:after="0"/>
        <w:jc w:val="both"/>
        <w:rPr>
          <w:rFonts w:eastAsia="SimSun"/>
          <w:lang w:eastAsia="zh-CN"/>
        </w:rPr>
      </w:pPr>
      <w:r>
        <w:rPr>
          <w:rFonts w:eastAsia="SimSun"/>
          <w:lang w:eastAsia="zh-CN"/>
        </w:rPr>
        <w:t>For the PC3 band n100 case, the TS 38.101-1 grants a -50dBm/MHz protection by band 8</w:t>
      </w:r>
      <w:r w:rsidR="00F35586">
        <w:rPr>
          <w:rFonts w:eastAsia="SimSun"/>
          <w:lang w:eastAsia="zh-CN"/>
        </w:rPr>
        <w:t>.</w:t>
      </w:r>
      <w:r>
        <w:rPr>
          <w:rFonts w:eastAsia="SimSun"/>
          <w:lang w:eastAsia="zh-CN"/>
        </w:rPr>
        <w:t xml:space="preserve"> In this contribution</w:t>
      </w:r>
      <w:r w:rsidR="004D62D2">
        <w:rPr>
          <w:rFonts w:eastAsia="SimSun"/>
          <w:lang w:eastAsia="zh-CN"/>
        </w:rPr>
        <w:t>,</w:t>
      </w:r>
      <w:r>
        <w:rPr>
          <w:rFonts w:eastAsia="SimSun"/>
          <w:lang w:eastAsia="zh-CN"/>
        </w:rPr>
        <w:t xml:space="preserve"> we </w:t>
      </w:r>
      <w:r w:rsidR="004D62D2">
        <w:rPr>
          <w:rFonts w:eastAsia="SimSun"/>
          <w:lang w:eastAsia="zh-CN"/>
        </w:rPr>
        <w:t>demonstrate</w:t>
      </w:r>
      <w:r>
        <w:rPr>
          <w:rFonts w:eastAsia="SimSun"/>
          <w:lang w:eastAsia="zh-CN"/>
        </w:rPr>
        <w:t xml:space="preserve"> that this is not feasible.</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49553EC1" w14:textId="6289060A" w:rsidR="003F4E48" w:rsidRPr="00ED46F4" w:rsidRDefault="00ED46F4" w:rsidP="003F4E48">
      <w:pPr>
        <w:spacing w:after="0"/>
        <w:rPr>
          <w:lang w:eastAsia="zh-CN"/>
        </w:rPr>
      </w:pPr>
      <w:r w:rsidRPr="00ED46F4">
        <w:rPr>
          <w:lang w:eastAsia="zh-CN"/>
        </w:rPr>
        <w:t xml:space="preserve">As can </w:t>
      </w:r>
      <w:r w:rsidR="004D62D2">
        <w:rPr>
          <w:lang w:eastAsia="zh-CN"/>
        </w:rPr>
        <w:t xml:space="preserve">be </w:t>
      </w:r>
      <w:r w:rsidRPr="00ED46F4">
        <w:rPr>
          <w:lang w:eastAsia="zh-CN"/>
        </w:rPr>
        <w:t xml:space="preserve">seen </w:t>
      </w:r>
      <w:r>
        <w:rPr>
          <w:lang w:eastAsia="zh-CN"/>
        </w:rPr>
        <w:t>in Figure 1, there is only a 4MHz gap between the top of the band 8 UL and the bottom of band n100 DL.</w:t>
      </w:r>
    </w:p>
    <w:p w14:paraId="60C0E328" w14:textId="62D7664C" w:rsidR="00ED46F4" w:rsidRDefault="00ED46F4" w:rsidP="003F4E48">
      <w:pPr>
        <w:spacing w:after="0"/>
        <w:rPr>
          <w:highlight w:val="yellow"/>
          <w:lang w:eastAsia="zh-CN"/>
        </w:rPr>
      </w:pPr>
    </w:p>
    <w:p w14:paraId="0552B99A" w14:textId="77777777" w:rsidR="00ED46F4" w:rsidRDefault="00ED46F4" w:rsidP="00ED46F4">
      <w:pPr>
        <w:keepNext/>
        <w:spacing w:after="0"/>
      </w:pPr>
      <w:r w:rsidRPr="00ED46F4">
        <w:rPr>
          <w:noProof/>
          <w:lang w:eastAsia="zh-CN"/>
        </w:rPr>
        <w:drawing>
          <wp:inline distT="0" distB="0" distL="0" distR="0" wp14:anchorId="71CA01F6" wp14:editId="153A4BFC">
            <wp:extent cx="6646545" cy="72009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720090"/>
                    </a:xfrm>
                    <a:prstGeom prst="rect">
                      <a:avLst/>
                    </a:prstGeom>
                  </pic:spPr>
                </pic:pic>
              </a:graphicData>
            </a:graphic>
          </wp:inline>
        </w:drawing>
      </w:r>
    </w:p>
    <w:p w14:paraId="7C7C599B" w14:textId="74DB0EBD" w:rsidR="00ED46F4" w:rsidRPr="003F4E48" w:rsidRDefault="00ED46F4" w:rsidP="00ED46F4">
      <w:pPr>
        <w:pStyle w:val="Caption"/>
        <w:ind w:left="284"/>
        <w:jc w:val="center"/>
        <w:rPr>
          <w:highlight w:val="yellow"/>
          <w:lang w:eastAsia="zh-CN"/>
        </w:rPr>
      </w:pPr>
      <w:r>
        <w:t xml:space="preserve">Figure </w:t>
      </w:r>
      <w:r>
        <w:fldChar w:fldCharType="begin"/>
      </w:r>
      <w:r>
        <w:instrText xml:space="preserve"> SEQ Figure \* ARABIC </w:instrText>
      </w:r>
      <w:r>
        <w:fldChar w:fldCharType="separate"/>
      </w:r>
      <w:r>
        <w:rPr>
          <w:noProof/>
        </w:rPr>
        <w:t>1</w:t>
      </w:r>
      <w:r>
        <w:fldChar w:fldCharType="end"/>
      </w:r>
      <w:r>
        <w:t>: band 8 and n100 spectrum ranges</w:t>
      </w:r>
    </w:p>
    <w:p w14:paraId="6C18B0D5" w14:textId="0AB5D31B" w:rsidR="003C15F1" w:rsidRDefault="004D62D2" w:rsidP="00ED46F4">
      <w:pPr>
        <w:spacing w:after="0"/>
        <w:rPr>
          <w:lang w:eastAsia="zh-CN"/>
        </w:rPr>
      </w:pPr>
      <w:r>
        <w:rPr>
          <w:lang w:eastAsia="zh-CN"/>
        </w:rPr>
        <w:t>However,</w:t>
      </w:r>
      <w:r w:rsidR="00ED46F4" w:rsidRPr="00ED46F4">
        <w:rPr>
          <w:lang w:eastAsia="zh-CN"/>
        </w:rPr>
        <w:t xml:space="preserve"> as shown in Table 1,</w:t>
      </w:r>
      <w:r w:rsidR="00ED46F4">
        <w:rPr>
          <w:lang w:eastAsia="zh-CN"/>
        </w:rPr>
        <w:t xml:space="preserve"> Band n100 is granted with a protection level of -50dBm/</w:t>
      </w:r>
      <w:proofErr w:type="spellStart"/>
      <w:r w:rsidR="00ED46F4">
        <w:rPr>
          <w:lang w:eastAsia="zh-CN"/>
        </w:rPr>
        <w:t>MHz.</w:t>
      </w:r>
      <w:proofErr w:type="spellEnd"/>
    </w:p>
    <w:p w14:paraId="360B1EEA" w14:textId="77777777" w:rsidR="00904E2B" w:rsidRDefault="00904E2B" w:rsidP="00904E2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extract of UE coexistence requirement for band n8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04E2B" w:rsidRPr="00A1115A" w14:paraId="07A7E063" w14:textId="77777777" w:rsidTr="00A80E7F">
        <w:trPr>
          <w:trHeight w:val="270"/>
          <w:tblHeader/>
          <w:jc w:val="center"/>
        </w:trPr>
        <w:tc>
          <w:tcPr>
            <w:tcW w:w="959" w:type="dxa"/>
            <w:tcBorders>
              <w:bottom w:val="nil"/>
            </w:tcBorders>
            <w:shd w:val="clear" w:color="auto" w:fill="auto"/>
            <w:vAlign w:val="center"/>
            <w:hideMark/>
          </w:tcPr>
          <w:p w14:paraId="63ADBEF0" w14:textId="77777777" w:rsidR="00904E2B" w:rsidRPr="00A1115A" w:rsidRDefault="00904E2B" w:rsidP="00A80E7F">
            <w:pPr>
              <w:pStyle w:val="TAH"/>
              <w:keepNext w:val="0"/>
            </w:pPr>
            <w:r w:rsidRPr="00A1115A">
              <w:rPr>
                <w:lang w:val="fi-FI"/>
              </w:rPr>
              <w:t>NR</w:t>
            </w:r>
            <w:r w:rsidRPr="00A1115A">
              <w:t xml:space="preserve"> Band</w:t>
            </w:r>
          </w:p>
        </w:tc>
        <w:tc>
          <w:tcPr>
            <w:tcW w:w="7981" w:type="dxa"/>
            <w:gridSpan w:val="7"/>
            <w:hideMark/>
          </w:tcPr>
          <w:p w14:paraId="1B82E56A" w14:textId="77777777" w:rsidR="00904E2B" w:rsidRPr="00A1115A" w:rsidRDefault="00904E2B" w:rsidP="00A80E7F">
            <w:pPr>
              <w:pStyle w:val="TAH"/>
              <w:keepNext w:val="0"/>
            </w:pPr>
            <w:r w:rsidRPr="00A1115A">
              <w:t>Spurious emission for UE co-existence</w:t>
            </w:r>
          </w:p>
        </w:tc>
      </w:tr>
      <w:tr w:rsidR="00904E2B" w:rsidRPr="00A1115A" w14:paraId="00DD4104" w14:textId="77777777" w:rsidTr="00A80E7F">
        <w:trPr>
          <w:trHeight w:val="450"/>
          <w:tblHeader/>
          <w:jc w:val="center"/>
        </w:trPr>
        <w:tc>
          <w:tcPr>
            <w:tcW w:w="959" w:type="dxa"/>
            <w:tcBorders>
              <w:top w:val="nil"/>
              <w:bottom w:val="single" w:sz="4" w:space="0" w:color="auto"/>
            </w:tcBorders>
            <w:shd w:val="clear" w:color="auto" w:fill="auto"/>
            <w:vAlign w:val="center"/>
            <w:hideMark/>
          </w:tcPr>
          <w:p w14:paraId="4E57F760" w14:textId="77777777" w:rsidR="00904E2B" w:rsidRPr="00A1115A" w:rsidRDefault="00904E2B" w:rsidP="00A80E7F">
            <w:pPr>
              <w:pStyle w:val="TAH"/>
              <w:keepNext w:val="0"/>
            </w:pPr>
          </w:p>
        </w:tc>
        <w:tc>
          <w:tcPr>
            <w:tcW w:w="2831" w:type="dxa"/>
            <w:hideMark/>
          </w:tcPr>
          <w:p w14:paraId="1FBA0DAC" w14:textId="77777777" w:rsidR="00904E2B" w:rsidRPr="00A1115A" w:rsidRDefault="00904E2B" w:rsidP="00A80E7F">
            <w:pPr>
              <w:pStyle w:val="TAH"/>
              <w:keepNext w:val="0"/>
            </w:pPr>
            <w:r w:rsidRPr="00A1115A">
              <w:t>Protected band</w:t>
            </w:r>
          </w:p>
        </w:tc>
        <w:tc>
          <w:tcPr>
            <w:tcW w:w="2239" w:type="dxa"/>
            <w:gridSpan w:val="3"/>
            <w:hideMark/>
          </w:tcPr>
          <w:p w14:paraId="3FAB3343" w14:textId="77777777" w:rsidR="00904E2B" w:rsidRPr="00A1115A" w:rsidRDefault="00904E2B" w:rsidP="00A80E7F">
            <w:pPr>
              <w:pStyle w:val="TAH"/>
              <w:keepNext w:val="0"/>
            </w:pPr>
            <w:r w:rsidRPr="00A1115A">
              <w:t>Frequency range (MHz)</w:t>
            </w:r>
          </w:p>
        </w:tc>
        <w:tc>
          <w:tcPr>
            <w:tcW w:w="1133" w:type="dxa"/>
            <w:hideMark/>
          </w:tcPr>
          <w:p w14:paraId="25DA5886" w14:textId="77777777" w:rsidR="00904E2B" w:rsidRPr="00A1115A" w:rsidRDefault="00904E2B" w:rsidP="00A80E7F">
            <w:pPr>
              <w:pStyle w:val="TAH"/>
              <w:keepNext w:val="0"/>
            </w:pPr>
            <w:r w:rsidRPr="00A1115A">
              <w:t>Maximum Level (dBm)</w:t>
            </w:r>
          </w:p>
        </w:tc>
        <w:tc>
          <w:tcPr>
            <w:tcW w:w="850" w:type="dxa"/>
            <w:hideMark/>
          </w:tcPr>
          <w:p w14:paraId="4482D596" w14:textId="77777777" w:rsidR="00904E2B" w:rsidRPr="00A1115A" w:rsidRDefault="00904E2B" w:rsidP="00A80E7F">
            <w:pPr>
              <w:pStyle w:val="TAH"/>
              <w:keepNext w:val="0"/>
            </w:pPr>
            <w:r w:rsidRPr="00A1115A">
              <w:t>MBW (MHz)</w:t>
            </w:r>
          </w:p>
        </w:tc>
        <w:tc>
          <w:tcPr>
            <w:tcW w:w="928" w:type="dxa"/>
            <w:noWrap/>
            <w:hideMark/>
          </w:tcPr>
          <w:p w14:paraId="6A48AB37" w14:textId="77777777" w:rsidR="00904E2B" w:rsidRPr="00A1115A" w:rsidRDefault="00904E2B" w:rsidP="00A80E7F">
            <w:pPr>
              <w:pStyle w:val="TAH"/>
              <w:keepNext w:val="0"/>
            </w:pPr>
            <w:r w:rsidRPr="00A1115A">
              <w:t>NOTE</w:t>
            </w:r>
          </w:p>
        </w:tc>
      </w:tr>
      <w:tr w:rsidR="00904E2B" w:rsidRPr="00A1115A" w14:paraId="5038D91A" w14:textId="77777777" w:rsidTr="00A80E7F">
        <w:trPr>
          <w:trHeight w:val="225"/>
          <w:jc w:val="center"/>
        </w:trPr>
        <w:tc>
          <w:tcPr>
            <w:tcW w:w="959" w:type="dxa"/>
            <w:tcBorders>
              <w:bottom w:val="nil"/>
            </w:tcBorders>
            <w:shd w:val="clear" w:color="auto" w:fill="auto"/>
          </w:tcPr>
          <w:p w14:paraId="4313D65F" w14:textId="77777777" w:rsidR="00904E2B" w:rsidRPr="00A1115A" w:rsidRDefault="00904E2B" w:rsidP="00A80E7F">
            <w:pPr>
              <w:pStyle w:val="TAC"/>
            </w:pPr>
            <w:r w:rsidRPr="00A1115A">
              <w:t>n8, n81</w:t>
            </w:r>
            <w:r>
              <w:t>, n93, n94</w:t>
            </w:r>
          </w:p>
        </w:tc>
        <w:tc>
          <w:tcPr>
            <w:tcW w:w="2831" w:type="dxa"/>
          </w:tcPr>
          <w:p w14:paraId="6B13E2E3" w14:textId="77777777" w:rsidR="00904E2B" w:rsidRDefault="00904E2B" w:rsidP="00A80E7F">
            <w:pPr>
              <w:pStyle w:val="TAL"/>
            </w:pPr>
            <w:r>
              <w:t>E-UTRA Band 1, 20, 28, 31, 32, 33, 34, 38, 39, 40, 45, 50, 51, 65, 67, 68, 69, 72, 73, 74, 75, 76</w:t>
            </w:r>
          </w:p>
          <w:p w14:paraId="74F404BD" w14:textId="77777777" w:rsidR="00904E2B" w:rsidRPr="00A1115A" w:rsidRDefault="00904E2B" w:rsidP="00A80E7F">
            <w:pPr>
              <w:pStyle w:val="TAL"/>
            </w:pPr>
            <w:r>
              <w:t>NR Band n100, n101, n104</w:t>
            </w:r>
          </w:p>
        </w:tc>
        <w:tc>
          <w:tcPr>
            <w:tcW w:w="810" w:type="dxa"/>
          </w:tcPr>
          <w:p w14:paraId="5066C49D" w14:textId="77777777" w:rsidR="00904E2B" w:rsidRPr="00A1115A" w:rsidRDefault="00904E2B" w:rsidP="00A80E7F">
            <w:pPr>
              <w:pStyle w:val="TAC"/>
            </w:pPr>
            <w:proofErr w:type="spellStart"/>
            <w:r w:rsidRPr="00A1115A">
              <w:t>F</w:t>
            </w:r>
            <w:r w:rsidRPr="00A1115A">
              <w:rPr>
                <w:vertAlign w:val="subscript"/>
              </w:rPr>
              <w:t>DL_low</w:t>
            </w:r>
            <w:proofErr w:type="spellEnd"/>
          </w:p>
        </w:tc>
        <w:tc>
          <w:tcPr>
            <w:tcW w:w="540" w:type="dxa"/>
          </w:tcPr>
          <w:p w14:paraId="1191A1EA" w14:textId="77777777" w:rsidR="00904E2B" w:rsidRPr="00A1115A" w:rsidRDefault="00904E2B" w:rsidP="00A80E7F">
            <w:pPr>
              <w:pStyle w:val="TAC"/>
            </w:pPr>
            <w:r w:rsidRPr="00A1115A">
              <w:t>-</w:t>
            </w:r>
          </w:p>
        </w:tc>
        <w:tc>
          <w:tcPr>
            <w:tcW w:w="889" w:type="dxa"/>
          </w:tcPr>
          <w:p w14:paraId="1AFD508C" w14:textId="77777777" w:rsidR="00904E2B" w:rsidRPr="00A1115A" w:rsidRDefault="00904E2B" w:rsidP="00A80E7F">
            <w:pPr>
              <w:pStyle w:val="TAC"/>
            </w:pPr>
            <w:proofErr w:type="spellStart"/>
            <w:r w:rsidRPr="00A1115A">
              <w:t>F</w:t>
            </w:r>
            <w:r w:rsidRPr="00A1115A">
              <w:rPr>
                <w:vertAlign w:val="subscript"/>
              </w:rPr>
              <w:t>DL_high</w:t>
            </w:r>
            <w:proofErr w:type="spellEnd"/>
          </w:p>
        </w:tc>
        <w:tc>
          <w:tcPr>
            <w:tcW w:w="1133" w:type="dxa"/>
          </w:tcPr>
          <w:p w14:paraId="0307C9BA" w14:textId="77777777" w:rsidR="00904E2B" w:rsidRPr="00A1115A" w:rsidRDefault="00904E2B" w:rsidP="00A80E7F">
            <w:pPr>
              <w:pStyle w:val="TAC"/>
            </w:pPr>
            <w:r w:rsidRPr="00A1115A">
              <w:t>-50</w:t>
            </w:r>
          </w:p>
        </w:tc>
        <w:tc>
          <w:tcPr>
            <w:tcW w:w="850" w:type="dxa"/>
            <w:noWrap/>
          </w:tcPr>
          <w:p w14:paraId="5CD2A741" w14:textId="77777777" w:rsidR="00904E2B" w:rsidRPr="00A1115A" w:rsidRDefault="00904E2B" w:rsidP="00A80E7F">
            <w:pPr>
              <w:pStyle w:val="TAC"/>
            </w:pPr>
            <w:r w:rsidRPr="00A1115A">
              <w:t>1</w:t>
            </w:r>
          </w:p>
        </w:tc>
        <w:tc>
          <w:tcPr>
            <w:tcW w:w="928" w:type="dxa"/>
            <w:noWrap/>
          </w:tcPr>
          <w:p w14:paraId="18675BC8" w14:textId="77777777" w:rsidR="00904E2B" w:rsidRPr="00A1115A" w:rsidRDefault="00904E2B" w:rsidP="00A80E7F">
            <w:pPr>
              <w:pStyle w:val="TAC"/>
            </w:pPr>
          </w:p>
        </w:tc>
      </w:tr>
      <w:tr w:rsidR="00904E2B" w:rsidRPr="00A1115A" w14:paraId="553612FA" w14:textId="77777777" w:rsidTr="00A80E7F">
        <w:trPr>
          <w:trHeight w:val="225"/>
          <w:jc w:val="center"/>
        </w:trPr>
        <w:tc>
          <w:tcPr>
            <w:tcW w:w="959" w:type="dxa"/>
            <w:tcBorders>
              <w:top w:val="nil"/>
              <w:bottom w:val="nil"/>
            </w:tcBorders>
            <w:shd w:val="clear" w:color="auto" w:fill="auto"/>
          </w:tcPr>
          <w:p w14:paraId="2FEDA54B" w14:textId="77777777" w:rsidR="00904E2B" w:rsidRPr="00A1115A" w:rsidRDefault="00904E2B" w:rsidP="00A80E7F">
            <w:pPr>
              <w:pStyle w:val="TAC"/>
            </w:pPr>
          </w:p>
        </w:tc>
        <w:tc>
          <w:tcPr>
            <w:tcW w:w="2831" w:type="dxa"/>
          </w:tcPr>
          <w:p w14:paraId="4AEB08D6" w14:textId="77777777" w:rsidR="00904E2B" w:rsidRPr="00A1115A" w:rsidRDefault="00904E2B" w:rsidP="00A80E7F">
            <w:pPr>
              <w:pStyle w:val="TAL"/>
              <w:rPr>
                <w:lang w:val="sv-FI"/>
              </w:rPr>
            </w:pPr>
            <w:r w:rsidRPr="00A1115A">
              <w:rPr>
                <w:lang w:val="sv-FI"/>
              </w:rPr>
              <w:t>E-UTRA band  3, 7, 22, 41, 42, 43, 52,</w:t>
            </w:r>
          </w:p>
          <w:p w14:paraId="35BEC45F" w14:textId="77777777" w:rsidR="00904E2B" w:rsidRPr="00A1115A" w:rsidRDefault="00904E2B" w:rsidP="00A80E7F">
            <w:pPr>
              <w:pStyle w:val="TAL"/>
              <w:rPr>
                <w:lang w:val="sv-FI"/>
              </w:rPr>
            </w:pPr>
            <w:r w:rsidRPr="00A1115A">
              <w:rPr>
                <w:lang w:val="sv-FI"/>
              </w:rPr>
              <w:t>NR Band n77, n78, n79</w:t>
            </w:r>
          </w:p>
        </w:tc>
        <w:tc>
          <w:tcPr>
            <w:tcW w:w="810" w:type="dxa"/>
          </w:tcPr>
          <w:p w14:paraId="7280470D" w14:textId="77777777" w:rsidR="00904E2B" w:rsidRPr="00A1115A" w:rsidRDefault="00904E2B" w:rsidP="00A80E7F">
            <w:pPr>
              <w:pStyle w:val="TAC"/>
            </w:pPr>
            <w:proofErr w:type="spellStart"/>
            <w:r w:rsidRPr="00A1115A">
              <w:t>F</w:t>
            </w:r>
            <w:r w:rsidRPr="00A1115A">
              <w:rPr>
                <w:vertAlign w:val="subscript"/>
              </w:rPr>
              <w:t>DL_low</w:t>
            </w:r>
            <w:proofErr w:type="spellEnd"/>
          </w:p>
        </w:tc>
        <w:tc>
          <w:tcPr>
            <w:tcW w:w="540" w:type="dxa"/>
          </w:tcPr>
          <w:p w14:paraId="3E32B60F" w14:textId="77777777" w:rsidR="00904E2B" w:rsidRPr="00A1115A" w:rsidRDefault="00904E2B" w:rsidP="00A80E7F">
            <w:pPr>
              <w:pStyle w:val="TAC"/>
            </w:pPr>
            <w:r w:rsidRPr="00A1115A">
              <w:t>-</w:t>
            </w:r>
          </w:p>
        </w:tc>
        <w:tc>
          <w:tcPr>
            <w:tcW w:w="889" w:type="dxa"/>
          </w:tcPr>
          <w:p w14:paraId="3A7F2C80" w14:textId="77777777" w:rsidR="00904E2B" w:rsidRPr="00A1115A" w:rsidRDefault="00904E2B" w:rsidP="00A80E7F">
            <w:pPr>
              <w:pStyle w:val="TAC"/>
            </w:pPr>
            <w:proofErr w:type="spellStart"/>
            <w:r w:rsidRPr="00A1115A">
              <w:t>F</w:t>
            </w:r>
            <w:r w:rsidRPr="00A1115A">
              <w:rPr>
                <w:vertAlign w:val="subscript"/>
              </w:rPr>
              <w:t>DL_high</w:t>
            </w:r>
            <w:proofErr w:type="spellEnd"/>
          </w:p>
        </w:tc>
        <w:tc>
          <w:tcPr>
            <w:tcW w:w="1133" w:type="dxa"/>
          </w:tcPr>
          <w:p w14:paraId="3BDAF62E" w14:textId="77777777" w:rsidR="00904E2B" w:rsidRPr="00A1115A" w:rsidRDefault="00904E2B" w:rsidP="00A80E7F">
            <w:pPr>
              <w:pStyle w:val="TAC"/>
            </w:pPr>
            <w:r w:rsidRPr="00A1115A">
              <w:t>-50</w:t>
            </w:r>
          </w:p>
        </w:tc>
        <w:tc>
          <w:tcPr>
            <w:tcW w:w="850" w:type="dxa"/>
            <w:noWrap/>
          </w:tcPr>
          <w:p w14:paraId="5A2307B8" w14:textId="77777777" w:rsidR="00904E2B" w:rsidRPr="00A1115A" w:rsidRDefault="00904E2B" w:rsidP="00A80E7F">
            <w:pPr>
              <w:pStyle w:val="TAC"/>
            </w:pPr>
            <w:r w:rsidRPr="00A1115A">
              <w:t>1</w:t>
            </w:r>
          </w:p>
        </w:tc>
        <w:tc>
          <w:tcPr>
            <w:tcW w:w="928" w:type="dxa"/>
            <w:noWrap/>
          </w:tcPr>
          <w:p w14:paraId="0CEC02DA" w14:textId="77777777" w:rsidR="00904E2B" w:rsidRPr="00A1115A" w:rsidRDefault="00904E2B" w:rsidP="00A80E7F">
            <w:pPr>
              <w:pStyle w:val="TAC"/>
            </w:pPr>
            <w:r w:rsidRPr="00A1115A">
              <w:t>2</w:t>
            </w:r>
          </w:p>
        </w:tc>
      </w:tr>
      <w:tr w:rsidR="00904E2B" w:rsidRPr="00A1115A" w14:paraId="0D98366C" w14:textId="77777777" w:rsidTr="00A80E7F">
        <w:trPr>
          <w:trHeight w:val="225"/>
          <w:jc w:val="center"/>
        </w:trPr>
        <w:tc>
          <w:tcPr>
            <w:tcW w:w="959" w:type="dxa"/>
            <w:tcBorders>
              <w:top w:val="nil"/>
              <w:bottom w:val="nil"/>
            </w:tcBorders>
            <w:shd w:val="clear" w:color="auto" w:fill="auto"/>
          </w:tcPr>
          <w:p w14:paraId="1682D9FD" w14:textId="77777777" w:rsidR="00904E2B" w:rsidRPr="00A1115A" w:rsidRDefault="00904E2B" w:rsidP="00A80E7F">
            <w:pPr>
              <w:pStyle w:val="TAC"/>
            </w:pPr>
          </w:p>
        </w:tc>
        <w:tc>
          <w:tcPr>
            <w:tcW w:w="2831" w:type="dxa"/>
          </w:tcPr>
          <w:p w14:paraId="34F1783B" w14:textId="77777777" w:rsidR="00904E2B" w:rsidRPr="00A1115A" w:rsidRDefault="00904E2B" w:rsidP="00A80E7F">
            <w:pPr>
              <w:pStyle w:val="TAL"/>
            </w:pPr>
            <w:r w:rsidRPr="00A1115A">
              <w:t>E-UTRA 8</w:t>
            </w:r>
          </w:p>
        </w:tc>
        <w:tc>
          <w:tcPr>
            <w:tcW w:w="810" w:type="dxa"/>
          </w:tcPr>
          <w:p w14:paraId="2E9E478D" w14:textId="77777777" w:rsidR="00904E2B" w:rsidRPr="00A1115A" w:rsidRDefault="00904E2B" w:rsidP="00A80E7F">
            <w:pPr>
              <w:pStyle w:val="TAC"/>
            </w:pPr>
            <w:proofErr w:type="spellStart"/>
            <w:r w:rsidRPr="00A1115A">
              <w:t>F</w:t>
            </w:r>
            <w:r w:rsidRPr="00A1115A">
              <w:rPr>
                <w:vertAlign w:val="subscript"/>
              </w:rPr>
              <w:t>DL_low</w:t>
            </w:r>
            <w:proofErr w:type="spellEnd"/>
          </w:p>
        </w:tc>
        <w:tc>
          <w:tcPr>
            <w:tcW w:w="540" w:type="dxa"/>
          </w:tcPr>
          <w:p w14:paraId="092BB714" w14:textId="77777777" w:rsidR="00904E2B" w:rsidRPr="00A1115A" w:rsidRDefault="00904E2B" w:rsidP="00A80E7F">
            <w:pPr>
              <w:pStyle w:val="TAC"/>
            </w:pPr>
            <w:r w:rsidRPr="00A1115A">
              <w:t>-</w:t>
            </w:r>
          </w:p>
        </w:tc>
        <w:tc>
          <w:tcPr>
            <w:tcW w:w="889" w:type="dxa"/>
          </w:tcPr>
          <w:p w14:paraId="6D1B3F59" w14:textId="77777777" w:rsidR="00904E2B" w:rsidRPr="00A1115A" w:rsidRDefault="00904E2B" w:rsidP="00A80E7F">
            <w:pPr>
              <w:pStyle w:val="TAC"/>
            </w:pPr>
            <w:proofErr w:type="spellStart"/>
            <w:r w:rsidRPr="00A1115A">
              <w:t>F</w:t>
            </w:r>
            <w:r w:rsidRPr="00A1115A">
              <w:rPr>
                <w:vertAlign w:val="subscript"/>
              </w:rPr>
              <w:t>DL_high</w:t>
            </w:r>
            <w:proofErr w:type="spellEnd"/>
          </w:p>
        </w:tc>
        <w:tc>
          <w:tcPr>
            <w:tcW w:w="1133" w:type="dxa"/>
          </w:tcPr>
          <w:p w14:paraId="495A254E" w14:textId="77777777" w:rsidR="00904E2B" w:rsidRPr="00A1115A" w:rsidRDefault="00904E2B" w:rsidP="00A80E7F">
            <w:pPr>
              <w:pStyle w:val="TAC"/>
            </w:pPr>
            <w:r w:rsidRPr="00A1115A">
              <w:t>-50</w:t>
            </w:r>
          </w:p>
        </w:tc>
        <w:tc>
          <w:tcPr>
            <w:tcW w:w="850" w:type="dxa"/>
            <w:noWrap/>
          </w:tcPr>
          <w:p w14:paraId="2255F170" w14:textId="77777777" w:rsidR="00904E2B" w:rsidRPr="00A1115A" w:rsidRDefault="00904E2B" w:rsidP="00A80E7F">
            <w:pPr>
              <w:pStyle w:val="TAC"/>
            </w:pPr>
            <w:r w:rsidRPr="00A1115A">
              <w:t>1</w:t>
            </w:r>
          </w:p>
        </w:tc>
        <w:tc>
          <w:tcPr>
            <w:tcW w:w="928" w:type="dxa"/>
            <w:noWrap/>
          </w:tcPr>
          <w:p w14:paraId="561C0FD5" w14:textId="77777777" w:rsidR="00904E2B" w:rsidRPr="00A1115A" w:rsidRDefault="00904E2B" w:rsidP="00A80E7F">
            <w:pPr>
              <w:pStyle w:val="TAC"/>
            </w:pPr>
            <w:r w:rsidRPr="00A1115A">
              <w:t>15</w:t>
            </w:r>
          </w:p>
        </w:tc>
      </w:tr>
      <w:tr w:rsidR="00904E2B" w:rsidRPr="00A1115A" w14:paraId="629FDCAF" w14:textId="77777777" w:rsidTr="00A80E7F">
        <w:trPr>
          <w:trHeight w:val="225"/>
          <w:jc w:val="center"/>
        </w:trPr>
        <w:tc>
          <w:tcPr>
            <w:tcW w:w="959" w:type="dxa"/>
            <w:tcBorders>
              <w:top w:val="nil"/>
              <w:bottom w:val="nil"/>
            </w:tcBorders>
            <w:shd w:val="clear" w:color="auto" w:fill="auto"/>
          </w:tcPr>
          <w:p w14:paraId="236C911F" w14:textId="77777777" w:rsidR="00904E2B" w:rsidRPr="00A1115A" w:rsidRDefault="00904E2B" w:rsidP="00A80E7F">
            <w:pPr>
              <w:pStyle w:val="TAC"/>
            </w:pPr>
          </w:p>
        </w:tc>
        <w:tc>
          <w:tcPr>
            <w:tcW w:w="2831" w:type="dxa"/>
          </w:tcPr>
          <w:p w14:paraId="17081B78" w14:textId="77777777" w:rsidR="00904E2B" w:rsidRPr="00A1115A" w:rsidRDefault="00904E2B" w:rsidP="00A80E7F">
            <w:pPr>
              <w:pStyle w:val="TAL"/>
            </w:pPr>
            <w:r w:rsidRPr="00A1115A">
              <w:t>E-UTRA Band 11, 21</w:t>
            </w:r>
          </w:p>
        </w:tc>
        <w:tc>
          <w:tcPr>
            <w:tcW w:w="810" w:type="dxa"/>
          </w:tcPr>
          <w:p w14:paraId="2D128FD4" w14:textId="77777777" w:rsidR="00904E2B" w:rsidRPr="00A1115A" w:rsidRDefault="00904E2B" w:rsidP="00A80E7F">
            <w:pPr>
              <w:pStyle w:val="TAC"/>
            </w:pPr>
            <w:proofErr w:type="spellStart"/>
            <w:r w:rsidRPr="00A1115A">
              <w:t>F</w:t>
            </w:r>
            <w:r w:rsidRPr="00A1115A">
              <w:rPr>
                <w:vertAlign w:val="subscript"/>
              </w:rPr>
              <w:t>DL_low</w:t>
            </w:r>
            <w:proofErr w:type="spellEnd"/>
          </w:p>
        </w:tc>
        <w:tc>
          <w:tcPr>
            <w:tcW w:w="540" w:type="dxa"/>
          </w:tcPr>
          <w:p w14:paraId="3C248B90" w14:textId="77777777" w:rsidR="00904E2B" w:rsidRPr="00A1115A" w:rsidRDefault="00904E2B" w:rsidP="00A80E7F">
            <w:pPr>
              <w:pStyle w:val="TAC"/>
            </w:pPr>
            <w:r w:rsidRPr="00A1115A">
              <w:t>-</w:t>
            </w:r>
          </w:p>
        </w:tc>
        <w:tc>
          <w:tcPr>
            <w:tcW w:w="889" w:type="dxa"/>
          </w:tcPr>
          <w:p w14:paraId="610ADB18" w14:textId="77777777" w:rsidR="00904E2B" w:rsidRPr="00A1115A" w:rsidRDefault="00904E2B" w:rsidP="00A80E7F">
            <w:pPr>
              <w:pStyle w:val="TAC"/>
            </w:pPr>
            <w:proofErr w:type="spellStart"/>
            <w:r w:rsidRPr="00A1115A">
              <w:t>F</w:t>
            </w:r>
            <w:r w:rsidRPr="00A1115A">
              <w:rPr>
                <w:vertAlign w:val="subscript"/>
              </w:rPr>
              <w:t>DL_high</w:t>
            </w:r>
            <w:proofErr w:type="spellEnd"/>
          </w:p>
        </w:tc>
        <w:tc>
          <w:tcPr>
            <w:tcW w:w="1133" w:type="dxa"/>
          </w:tcPr>
          <w:p w14:paraId="78840201" w14:textId="77777777" w:rsidR="00904E2B" w:rsidRPr="00A1115A" w:rsidRDefault="00904E2B" w:rsidP="00A80E7F">
            <w:pPr>
              <w:pStyle w:val="TAC"/>
            </w:pPr>
            <w:r w:rsidRPr="00A1115A">
              <w:t>-50</w:t>
            </w:r>
          </w:p>
        </w:tc>
        <w:tc>
          <w:tcPr>
            <w:tcW w:w="850" w:type="dxa"/>
            <w:noWrap/>
          </w:tcPr>
          <w:p w14:paraId="7B4DDBD8" w14:textId="77777777" w:rsidR="00904E2B" w:rsidRPr="00A1115A" w:rsidRDefault="00904E2B" w:rsidP="00A80E7F">
            <w:pPr>
              <w:pStyle w:val="TAC"/>
            </w:pPr>
            <w:r w:rsidRPr="00A1115A">
              <w:t>1</w:t>
            </w:r>
          </w:p>
        </w:tc>
        <w:tc>
          <w:tcPr>
            <w:tcW w:w="928" w:type="dxa"/>
            <w:noWrap/>
          </w:tcPr>
          <w:p w14:paraId="74F7D47E" w14:textId="77777777" w:rsidR="00904E2B" w:rsidRPr="00A1115A" w:rsidRDefault="00904E2B" w:rsidP="00A80E7F">
            <w:pPr>
              <w:pStyle w:val="TAC"/>
            </w:pPr>
          </w:p>
        </w:tc>
      </w:tr>
      <w:tr w:rsidR="00904E2B" w:rsidRPr="00A1115A" w14:paraId="0B2E3AE0" w14:textId="77777777" w:rsidTr="00A80E7F">
        <w:trPr>
          <w:trHeight w:val="225"/>
          <w:jc w:val="center"/>
        </w:trPr>
        <w:tc>
          <w:tcPr>
            <w:tcW w:w="959" w:type="dxa"/>
            <w:tcBorders>
              <w:top w:val="nil"/>
              <w:bottom w:val="single" w:sz="4" w:space="0" w:color="auto"/>
            </w:tcBorders>
            <w:shd w:val="clear" w:color="auto" w:fill="auto"/>
          </w:tcPr>
          <w:p w14:paraId="29E2099B" w14:textId="77777777" w:rsidR="00904E2B" w:rsidRPr="00A1115A" w:rsidRDefault="00904E2B" w:rsidP="00A80E7F">
            <w:pPr>
              <w:pStyle w:val="TAC"/>
            </w:pPr>
          </w:p>
        </w:tc>
        <w:tc>
          <w:tcPr>
            <w:tcW w:w="2831" w:type="dxa"/>
          </w:tcPr>
          <w:p w14:paraId="5F974597" w14:textId="77777777" w:rsidR="00904E2B" w:rsidRPr="00A1115A" w:rsidRDefault="00904E2B" w:rsidP="00A80E7F">
            <w:pPr>
              <w:pStyle w:val="TAL"/>
            </w:pPr>
            <w:r w:rsidRPr="00A1115A">
              <w:t>Frequency range</w:t>
            </w:r>
          </w:p>
        </w:tc>
        <w:tc>
          <w:tcPr>
            <w:tcW w:w="810" w:type="dxa"/>
          </w:tcPr>
          <w:p w14:paraId="49559A3B" w14:textId="77777777" w:rsidR="00904E2B" w:rsidRPr="00A1115A" w:rsidRDefault="00904E2B" w:rsidP="00A80E7F">
            <w:pPr>
              <w:pStyle w:val="TAC"/>
            </w:pPr>
            <w:r w:rsidRPr="00A1115A">
              <w:t>1884.5</w:t>
            </w:r>
          </w:p>
        </w:tc>
        <w:tc>
          <w:tcPr>
            <w:tcW w:w="540" w:type="dxa"/>
          </w:tcPr>
          <w:p w14:paraId="740AA43E" w14:textId="77777777" w:rsidR="00904E2B" w:rsidRPr="00A1115A" w:rsidRDefault="00904E2B" w:rsidP="00A80E7F">
            <w:pPr>
              <w:pStyle w:val="TAC"/>
            </w:pPr>
            <w:r w:rsidRPr="00A1115A">
              <w:t>-</w:t>
            </w:r>
          </w:p>
        </w:tc>
        <w:tc>
          <w:tcPr>
            <w:tcW w:w="889" w:type="dxa"/>
          </w:tcPr>
          <w:p w14:paraId="574BE46B" w14:textId="77777777" w:rsidR="00904E2B" w:rsidRPr="00A1115A" w:rsidRDefault="00904E2B" w:rsidP="00A80E7F">
            <w:pPr>
              <w:pStyle w:val="TAC"/>
            </w:pPr>
            <w:r w:rsidRPr="00A1115A">
              <w:t>1915.7</w:t>
            </w:r>
          </w:p>
        </w:tc>
        <w:tc>
          <w:tcPr>
            <w:tcW w:w="1133" w:type="dxa"/>
          </w:tcPr>
          <w:p w14:paraId="1586CD7E" w14:textId="77777777" w:rsidR="00904E2B" w:rsidRPr="00A1115A" w:rsidRDefault="00904E2B" w:rsidP="00A80E7F">
            <w:pPr>
              <w:pStyle w:val="TAC"/>
            </w:pPr>
            <w:r w:rsidRPr="00A1115A">
              <w:t>-41</w:t>
            </w:r>
          </w:p>
        </w:tc>
        <w:tc>
          <w:tcPr>
            <w:tcW w:w="850" w:type="dxa"/>
            <w:noWrap/>
          </w:tcPr>
          <w:p w14:paraId="6F860E79" w14:textId="77777777" w:rsidR="00904E2B" w:rsidRPr="00A1115A" w:rsidRDefault="00904E2B" w:rsidP="00A80E7F">
            <w:pPr>
              <w:pStyle w:val="TAC"/>
            </w:pPr>
            <w:r w:rsidRPr="00A1115A">
              <w:t>0.3</w:t>
            </w:r>
          </w:p>
        </w:tc>
        <w:tc>
          <w:tcPr>
            <w:tcW w:w="928" w:type="dxa"/>
            <w:noWrap/>
          </w:tcPr>
          <w:p w14:paraId="04E61E8A" w14:textId="77777777" w:rsidR="00904E2B" w:rsidRPr="00A1115A" w:rsidRDefault="00904E2B" w:rsidP="00A80E7F">
            <w:pPr>
              <w:pStyle w:val="TAC"/>
            </w:pPr>
            <w:r w:rsidRPr="00A1115A">
              <w:t>8</w:t>
            </w:r>
          </w:p>
        </w:tc>
      </w:tr>
    </w:tbl>
    <w:p w14:paraId="5A6028D3" w14:textId="77777777" w:rsidR="00904E2B" w:rsidRDefault="00904E2B" w:rsidP="00ED46F4">
      <w:pPr>
        <w:spacing w:after="0"/>
        <w:rPr>
          <w:lang w:eastAsia="zh-CN"/>
        </w:rPr>
      </w:pPr>
    </w:p>
    <w:p w14:paraId="3A88C4FA" w14:textId="01C59107" w:rsidR="00ED46F4" w:rsidRDefault="00ED46F4" w:rsidP="00ED46F4">
      <w:pPr>
        <w:spacing w:after="0"/>
        <w:rPr>
          <w:lang w:eastAsia="zh-CN"/>
        </w:rPr>
      </w:pPr>
      <w:r>
        <w:rPr>
          <w:lang w:eastAsia="zh-CN"/>
        </w:rPr>
        <w:t>Given that band 8 supports up to</w:t>
      </w:r>
      <w:r w:rsidR="004D62D2">
        <w:rPr>
          <w:lang w:eastAsia="zh-CN"/>
        </w:rPr>
        <w:t xml:space="preserve"> a</w:t>
      </w:r>
      <w:r>
        <w:rPr>
          <w:lang w:eastAsia="zh-CN"/>
        </w:rPr>
        <w:t xml:space="preserve"> 20MHz UL channel bandwidth, this is not feasible.</w:t>
      </w:r>
    </w:p>
    <w:p w14:paraId="1E77382A" w14:textId="77777777" w:rsidR="00ED46F4" w:rsidRDefault="00ED46F4" w:rsidP="00ED46F4">
      <w:pPr>
        <w:spacing w:after="0"/>
        <w:rPr>
          <w:lang w:eastAsia="zh-CN"/>
        </w:rPr>
      </w:pPr>
    </w:p>
    <w:p w14:paraId="3FCA4FBA" w14:textId="19C94923" w:rsidR="00ED46F4" w:rsidRDefault="00ED46F4" w:rsidP="00ED46F4">
      <w:pPr>
        <w:spacing w:after="0"/>
        <w:rPr>
          <w:lang w:eastAsia="zh-CN"/>
        </w:rPr>
      </w:pPr>
      <w:r>
        <w:rPr>
          <w:lang w:eastAsia="zh-CN"/>
        </w:rPr>
        <w:t xml:space="preserve">Although the band 8 duplexer is </w:t>
      </w:r>
      <w:r w:rsidR="004D62D2">
        <w:rPr>
          <w:lang w:eastAsia="zh-CN"/>
        </w:rPr>
        <w:t>designed</w:t>
      </w:r>
      <w:r>
        <w:rPr>
          <w:lang w:eastAsia="zh-CN"/>
        </w:rPr>
        <w:t xml:space="preserve"> to provide 50dB isolation in band 8 DL, its TX to antenna rejection is slightly lower and </w:t>
      </w:r>
      <w:r w:rsidR="004D62D2">
        <w:rPr>
          <w:lang w:eastAsia="zh-CN"/>
        </w:rPr>
        <w:t>thus,</w:t>
      </w:r>
      <w:r>
        <w:rPr>
          <w:lang w:eastAsia="zh-CN"/>
        </w:rPr>
        <w:t xml:space="preserve"> across process and temperature variations, it cannot provide a significant UL noise attenuation </w:t>
      </w:r>
      <w:r w:rsidR="004D62D2">
        <w:rPr>
          <w:lang w:eastAsia="zh-CN"/>
        </w:rPr>
        <w:t xml:space="preserve">that is </w:t>
      </w:r>
      <w:r>
        <w:rPr>
          <w:lang w:eastAsia="zh-CN"/>
        </w:rPr>
        <w:t>only 4MHz above the UL bandwidth.</w:t>
      </w:r>
    </w:p>
    <w:p w14:paraId="689CBD66" w14:textId="77777777" w:rsidR="00ED46F4" w:rsidRDefault="00ED46F4" w:rsidP="00ED46F4">
      <w:pPr>
        <w:spacing w:after="0"/>
        <w:rPr>
          <w:lang w:eastAsia="zh-CN"/>
        </w:rPr>
      </w:pPr>
    </w:p>
    <w:p w14:paraId="6094BF2C" w14:textId="54BAC00B" w:rsidR="003C15F1" w:rsidRDefault="00ED46F4" w:rsidP="00904E2B">
      <w:pPr>
        <w:spacing w:after="0"/>
        <w:rPr>
          <w:lang w:eastAsia="zh-CN"/>
        </w:rPr>
      </w:pPr>
      <w:r>
        <w:rPr>
          <w:lang w:eastAsia="zh-CN"/>
        </w:rPr>
        <w:t xml:space="preserve">With </w:t>
      </w:r>
      <w:r w:rsidR="004D62D2">
        <w:rPr>
          <w:lang w:eastAsia="zh-CN"/>
        </w:rPr>
        <w:t xml:space="preserve">a </w:t>
      </w:r>
      <w:r>
        <w:rPr>
          <w:lang w:eastAsia="zh-CN"/>
        </w:rPr>
        <w:t xml:space="preserve">20MHz channel bandwidth, the SEM mask only guarantees </w:t>
      </w:r>
      <w:r w:rsidR="004D62D2">
        <w:rPr>
          <w:lang w:eastAsia="zh-CN"/>
        </w:rPr>
        <w:t>-</w:t>
      </w:r>
      <w:r>
        <w:rPr>
          <w:lang w:eastAsia="zh-CN"/>
        </w:rPr>
        <w:t xml:space="preserve">10dBm/MHz in the n100 DL band and </w:t>
      </w:r>
      <w:proofErr w:type="gramStart"/>
      <w:r>
        <w:rPr>
          <w:lang w:eastAsia="zh-CN"/>
        </w:rPr>
        <w:t xml:space="preserve">would thus </w:t>
      </w:r>
      <w:r w:rsidR="004D62D2">
        <w:rPr>
          <w:lang w:eastAsia="zh-CN"/>
        </w:rPr>
        <w:t>would</w:t>
      </w:r>
      <w:proofErr w:type="gramEnd"/>
      <w:r w:rsidR="004D62D2">
        <w:rPr>
          <w:lang w:eastAsia="zh-CN"/>
        </w:rPr>
        <w:t xml:space="preserve"> </w:t>
      </w:r>
      <w:r>
        <w:rPr>
          <w:lang w:eastAsia="zh-CN"/>
        </w:rPr>
        <w:t xml:space="preserve">require </w:t>
      </w:r>
      <w:r w:rsidR="004D62D2">
        <w:rPr>
          <w:lang w:eastAsia="zh-CN"/>
        </w:rPr>
        <w:t xml:space="preserve">a </w:t>
      </w:r>
      <w:r>
        <w:rPr>
          <w:lang w:eastAsia="zh-CN"/>
        </w:rPr>
        <w:t xml:space="preserve">40dB rejection from the filter </w:t>
      </w:r>
      <w:r w:rsidR="004D62D2">
        <w:rPr>
          <w:lang w:eastAsia="zh-CN"/>
        </w:rPr>
        <w:t xml:space="preserve">to meet the -50dBm/MHz protection level, </w:t>
      </w:r>
      <w:r>
        <w:rPr>
          <w:lang w:eastAsia="zh-CN"/>
        </w:rPr>
        <w:t>which is not viable. Although</w:t>
      </w:r>
      <w:r w:rsidR="004D62D2">
        <w:rPr>
          <w:lang w:eastAsia="zh-CN"/>
        </w:rPr>
        <w:t>,</w:t>
      </w:r>
      <w:r>
        <w:rPr>
          <w:lang w:eastAsia="zh-CN"/>
        </w:rPr>
        <w:t xml:space="preserve"> for lower channel bandwidths the PA noise may decay more rapidly, the SEM mask stays the same up to 5MHz offset</w:t>
      </w:r>
      <w:r w:rsidR="004D62D2">
        <w:rPr>
          <w:lang w:eastAsia="zh-CN"/>
        </w:rPr>
        <w:t>.</w:t>
      </w:r>
      <w:r>
        <w:rPr>
          <w:lang w:eastAsia="zh-CN"/>
        </w:rPr>
        <w:t xml:space="preserve"> </w:t>
      </w:r>
      <w:proofErr w:type="gramStart"/>
      <w:r w:rsidR="004D62D2">
        <w:rPr>
          <w:lang w:eastAsia="zh-CN"/>
        </w:rPr>
        <w:t>T</w:t>
      </w:r>
      <w:r>
        <w:rPr>
          <w:lang w:eastAsia="zh-CN"/>
        </w:rPr>
        <w:t>hus</w:t>
      </w:r>
      <w:proofErr w:type="gramEnd"/>
      <w:r>
        <w:rPr>
          <w:lang w:eastAsia="zh-CN"/>
        </w:rPr>
        <w:t xml:space="preserve"> the UE</w:t>
      </w:r>
      <w:r w:rsidR="00904E2B">
        <w:rPr>
          <w:lang w:eastAsia="zh-CN"/>
        </w:rPr>
        <w:t>, without account</w:t>
      </w:r>
      <w:r w:rsidR="004D62D2">
        <w:rPr>
          <w:lang w:eastAsia="zh-CN"/>
        </w:rPr>
        <w:t>ing</w:t>
      </w:r>
      <w:r w:rsidR="00904E2B">
        <w:rPr>
          <w:lang w:eastAsia="zh-CN"/>
        </w:rPr>
        <w:t xml:space="preserve"> for the filter attenuation,</w:t>
      </w:r>
      <w:r>
        <w:rPr>
          <w:lang w:eastAsia="zh-CN"/>
        </w:rPr>
        <w:t xml:space="preserve"> is allowed </w:t>
      </w:r>
      <w:r w:rsidR="004D62D2">
        <w:rPr>
          <w:lang w:eastAsia="zh-CN"/>
        </w:rPr>
        <w:t xml:space="preserve">a </w:t>
      </w:r>
      <w:r>
        <w:rPr>
          <w:lang w:eastAsia="zh-CN"/>
        </w:rPr>
        <w:t xml:space="preserve">-10dBm/MHz </w:t>
      </w:r>
      <w:r w:rsidR="00904E2B">
        <w:rPr>
          <w:lang w:eastAsia="zh-CN"/>
        </w:rPr>
        <w:t>in the first MHz of band n100 DL and then -13dBm/MHz in the next 5MHz.</w:t>
      </w:r>
    </w:p>
    <w:p w14:paraId="6517A920" w14:textId="57C01361" w:rsidR="00904E2B" w:rsidRDefault="00904E2B" w:rsidP="00904E2B">
      <w:pPr>
        <w:spacing w:after="0"/>
        <w:rPr>
          <w:lang w:eastAsia="zh-CN"/>
        </w:rPr>
      </w:pPr>
    </w:p>
    <w:p w14:paraId="7EB45982" w14:textId="3A614B5F" w:rsidR="00904E2B" w:rsidRDefault="00904E2B" w:rsidP="00904E2B">
      <w:pPr>
        <w:spacing w:after="0"/>
        <w:rPr>
          <w:lang w:eastAsia="zh-CN"/>
        </w:rPr>
      </w:pPr>
      <w:r>
        <w:rPr>
          <w:lang w:eastAsia="zh-CN"/>
        </w:rPr>
        <w:t>The easiest solution would be to remove n100 from the list of protected bands from n8 in 38.101-1 (and band 8 in 36.101-1 if the same issue exist</w:t>
      </w:r>
      <w:r w:rsidR="00B23396">
        <w:rPr>
          <w:lang w:eastAsia="zh-CN"/>
        </w:rPr>
        <w:t>s</w:t>
      </w:r>
      <w:r>
        <w:rPr>
          <w:lang w:eastAsia="zh-CN"/>
        </w:rPr>
        <w:t>, we did have time to check)</w:t>
      </w:r>
      <w:r w:rsidR="004D62D2">
        <w:rPr>
          <w:lang w:eastAsia="zh-CN"/>
        </w:rPr>
        <w:t>. However,</w:t>
      </w:r>
      <w:r>
        <w:rPr>
          <w:lang w:eastAsia="zh-CN"/>
        </w:rPr>
        <w:t xml:space="preserve"> since this is a railway band and the new Release 18 WI </w:t>
      </w:r>
      <w:r w:rsidR="004D62D2">
        <w:rPr>
          <w:lang w:eastAsia="zh-CN"/>
        </w:rPr>
        <w:t xml:space="preserve">has </w:t>
      </w:r>
      <w:r w:rsidR="004D62D2">
        <w:rPr>
          <w:lang w:eastAsia="zh-CN"/>
        </w:rPr>
        <w:t>communication with the train cabin</w:t>
      </w:r>
      <w:r w:rsidR="004D62D2">
        <w:rPr>
          <w:lang w:eastAsia="zh-CN"/>
        </w:rPr>
        <w:t xml:space="preserve"> as </w:t>
      </w:r>
      <w:r w:rsidR="00B23396">
        <w:rPr>
          <w:lang w:eastAsia="zh-CN"/>
        </w:rPr>
        <w:t xml:space="preserve">one of the applications is for communication with the train cabin, we also understand that the protection level of this band should </w:t>
      </w:r>
      <w:r w:rsidR="004D62D2">
        <w:rPr>
          <w:lang w:eastAsia="zh-CN"/>
        </w:rPr>
        <w:t xml:space="preserve">still </w:t>
      </w:r>
      <w:proofErr w:type="gramStart"/>
      <w:r w:rsidR="004D62D2">
        <w:rPr>
          <w:lang w:eastAsia="zh-CN"/>
        </w:rPr>
        <w:t>be considered to be</w:t>
      </w:r>
      <w:proofErr w:type="gramEnd"/>
      <w:r w:rsidR="004D62D2">
        <w:rPr>
          <w:lang w:eastAsia="zh-CN"/>
        </w:rPr>
        <w:t xml:space="preserve"> of value.</w:t>
      </w:r>
    </w:p>
    <w:p w14:paraId="6B322302" w14:textId="7D75FED5" w:rsidR="00B23396" w:rsidRDefault="00B23396" w:rsidP="00904E2B">
      <w:pPr>
        <w:spacing w:after="0"/>
        <w:rPr>
          <w:lang w:eastAsia="zh-CN"/>
        </w:rPr>
      </w:pPr>
    </w:p>
    <w:p w14:paraId="32BE1C01" w14:textId="796927A8" w:rsidR="00B23396" w:rsidRDefault="00B23396" w:rsidP="00904E2B">
      <w:pPr>
        <w:spacing w:after="0"/>
        <w:rPr>
          <w:lang w:eastAsia="zh-CN"/>
        </w:rPr>
      </w:pPr>
      <w:r>
        <w:rPr>
          <w:lang w:eastAsia="zh-CN"/>
        </w:rPr>
        <w:t xml:space="preserve">We </w:t>
      </w:r>
      <w:r w:rsidR="004D62D2">
        <w:rPr>
          <w:lang w:eastAsia="zh-CN"/>
        </w:rPr>
        <w:t>recommend</w:t>
      </w:r>
      <w:r>
        <w:rPr>
          <w:lang w:eastAsia="zh-CN"/>
        </w:rPr>
        <w:t xml:space="preserve"> that the n8 band protection </w:t>
      </w:r>
      <w:r w:rsidR="004D62D2">
        <w:rPr>
          <w:lang w:eastAsia="zh-CN"/>
        </w:rPr>
        <w:t>be</w:t>
      </w:r>
      <w:r>
        <w:rPr>
          <w:lang w:eastAsia="zh-CN"/>
        </w:rPr>
        <w:t xml:space="preserve"> further discussed and studied within Release 18</w:t>
      </w:r>
      <w:r w:rsidR="004D62D2">
        <w:rPr>
          <w:lang w:eastAsia="zh-CN"/>
        </w:rPr>
        <w:t>,</w:t>
      </w:r>
      <w:r>
        <w:rPr>
          <w:lang w:eastAsia="zh-CN"/>
        </w:rPr>
        <w:t xml:space="preserve"> </w:t>
      </w:r>
      <w:r w:rsidR="004D62D2">
        <w:rPr>
          <w:lang w:eastAsia="zh-CN"/>
        </w:rPr>
        <w:t>while pursuing</w:t>
      </w:r>
      <w:r>
        <w:rPr>
          <w:lang w:eastAsia="zh-CN"/>
        </w:rPr>
        <w:t xml:space="preserve"> </w:t>
      </w:r>
      <w:r w:rsidR="004D62D2">
        <w:rPr>
          <w:lang w:eastAsia="zh-CN"/>
        </w:rPr>
        <w:t>reasonable</w:t>
      </w:r>
      <w:r>
        <w:rPr>
          <w:lang w:eastAsia="zh-CN"/>
        </w:rPr>
        <w:t xml:space="preserve"> compromise for all parties involved. In the meantime, it might be </w:t>
      </w:r>
      <w:proofErr w:type="spellStart"/>
      <w:r w:rsidR="004D62D2">
        <w:rPr>
          <w:lang w:eastAsia="zh-CN"/>
        </w:rPr>
        <w:t>advisible</w:t>
      </w:r>
      <w:proofErr w:type="spellEnd"/>
      <w:r>
        <w:rPr>
          <w:lang w:eastAsia="zh-CN"/>
        </w:rPr>
        <w:t xml:space="preserve"> to correct all the UE TS and release</w:t>
      </w:r>
      <w:r w:rsidR="004D62D2">
        <w:rPr>
          <w:lang w:eastAsia="zh-CN"/>
        </w:rPr>
        <w:t>s</w:t>
      </w:r>
      <w:r>
        <w:rPr>
          <w:lang w:eastAsia="zh-CN"/>
        </w:rPr>
        <w:t xml:space="preserve"> by removing (or </w:t>
      </w:r>
      <w:r w:rsidR="004D62D2">
        <w:rPr>
          <w:lang w:eastAsia="zh-CN"/>
        </w:rPr>
        <w:t>placing between</w:t>
      </w:r>
      <w:r>
        <w:rPr>
          <w:lang w:eastAsia="zh-CN"/>
        </w:rPr>
        <w:t xml:space="preserve"> bracket) </w:t>
      </w:r>
      <w:r w:rsidR="004D62D2">
        <w:rPr>
          <w:lang w:eastAsia="zh-CN"/>
        </w:rPr>
        <w:t xml:space="preserve">band </w:t>
      </w:r>
      <w:r>
        <w:rPr>
          <w:lang w:eastAsia="zh-CN"/>
        </w:rPr>
        <w:t xml:space="preserve">n100 from the list of protected bands by </w:t>
      </w:r>
      <w:r w:rsidR="004D62D2">
        <w:rPr>
          <w:lang w:eastAsia="zh-CN"/>
        </w:rPr>
        <w:t xml:space="preserve">band </w:t>
      </w:r>
      <w:r>
        <w:rPr>
          <w:lang w:eastAsia="zh-CN"/>
        </w:rPr>
        <w:t>n8</w:t>
      </w:r>
      <w:r w:rsidR="004D62D2">
        <w:rPr>
          <w:lang w:eastAsia="zh-CN"/>
        </w:rPr>
        <w:t>,</w:t>
      </w:r>
      <w:r>
        <w:rPr>
          <w:lang w:eastAsia="zh-CN"/>
        </w:rPr>
        <w:t xml:space="preserve"> as existing UEs will likely fail this requirement.</w:t>
      </w:r>
    </w:p>
    <w:p w14:paraId="4BCFE29B" w14:textId="77777777" w:rsidR="0021519D" w:rsidRDefault="0021519D" w:rsidP="0021519D">
      <w:pPr>
        <w:spacing w:after="0"/>
        <w:rPr>
          <w:b/>
          <w:bCs/>
          <w:lang w:eastAsia="zh-CN"/>
        </w:rPr>
      </w:pPr>
    </w:p>
    <w:p w14:paraId="5E37FD69" w14:textId="21195C2E" w:rsidR="0021519D" w:rsidRDefault="0021519D" w:rsidP="0021519D">
      <w:pPr>
        <w:spacing w:after="0"/>
        <w:rPr>
          <w:b/>
          <w:bCs/>
          <w:lang w:eastAsia="zh-CN"/>
        </w:rPr>
      </w:pPr>
      <w:r>
        <w:rPr>
          <w:b/>
          <w:bCs/>
          <w:lang w:eastAsia="zh-CN"/>
        </w:rPr>
        <w:t>Proposal:</w:t>
      </w:r>
    </w:p>
    <w:p w14:paraId="1D1B4D7B" w14:textId="372CA921" w:rsidR="0021519D" w:rsidRDefault="004D62D2" w:rsidP="0021519D">
      <w:pPr>
        <w:pStyle w:val="ListParagraph"/>
        <w:numPr>
          <w:ilvl w:val="0"/>
          <w:numId w:val="32"/>
        </w:numPr>
        <w:spacing w:after="0"/>
        <w:rPr>
          <w:b/>
          <w:bCs/>
          <w:lang w:eastAsia="zh-CN"/>
        </w:rPr>
      </w:pPr>
      <w:r>
        <w:rPr>
          <w:b/>
          <w:bCs/>
          <w:lang w:eastAsia="zh-CN"/>
        </w:rPr>
        <w:lastRenderedPageBreak/>
        <w:t>An e</w:t>
      </w:r>
      <w:r w:rsidR="00B23396">
        <w:rPr>
          <w:b/>
          <w:bCs/>
          <w:lang w:eastAsia="zh-CN"/>
        </w:rPr>
        <w:t xml:space="preserve">xact protection level </w:t>
      </w:r>
      <w:r>
        <w:rPr>
          <w:b/>
          <w:bCs/>
          <w:lang w:eastAsia="zh-CN"/>
        </w:rPr>
        <w:t xml:space="preserve">of band n100 by band 8 </w:t>
      </w:r>
      <w:r>
        <w:rPr>
          <w:b/>
          <w:bCs/>
          <w:lang w:eastAsia="zh-CN"/>
        </w:rPr>
        <w:t xml:space="preserve">that is </w:t>
      </w:r>
      <w:r w:rsidR="00676E20">
        <w:rPr>
          <w:b/>
          <w:bCs/>
          <w:lang w:eastAsia="zh-CN"/>
        </w:rPr>
        <w:t>achievable with</w:t>
      </w:r>
      <w:r>
        <w:rPr>
          <w:b/>
          <w:bCs/>
          <w:lang w:eastAsia="zh-CN"/>
        </w:rPr>
        <w:t>in</w:t>
      </w:r>
      <w:r w:rsidR="00676E20">
        <w:rPr>
          <w:b/>
          <w:bCs/>
          <w:lang w:eastAsia="zh-CN"/>
        </w:rPr>
        <w:t xml:space="preserve"> </w:t>
      </w:r>
      <w:r>
        <w:rPr>
          <w:b/>
          <w:bCs/>
          <w:lang w:eastAsia="zh-CN"/>
        </w:rPr>
        <w:t xml:space="preserve">a set of </w:t>
      </w:r>
      <w:r w:rsidR="00676E20">
        <w:rPr>
          <w:b/>
          <w:bCs/>
          <w:lang w:eastAsia="zh-CN"/>
        </w:rPr>
        <w:t xml:space="preserve">related </w:t>
      </w:r>
      <w:r w:rsidR="00B23396">
        <w:rPr>
          <w:b/>
          <w:bCs/>
          <w:lang w:eastAsia="zh-CN"/>
        </w:rPr>
        <w:t>conditions i</w:t>
      </w:r>
      <w:r w:rsidR="00676E20">
        <w:rPr>
          <w:b/>
          <w:bCs/>
          <w:lang w:eastAsia="zh-CN"/>
        </w:rPr>
        <w:t>s studied</w:t>
      </w:r>
      <w:r>
        <w:rPr>
          <w:b/>
          <w:bCs/>
          <w:lang w:eastAsia="zh-CN"/>
        </w:rPr>
        <w:t>.</w:t>
      </w:r>
    </w:p>
    <w:p w14:paraId="4AEB7B54" w14:textId="64F3A7A7" w:rsidR="00676E20" w:rsidRDefault="00676E20" w:rsidP="0021519D">
      <w:pPr>
        <w:pStyle w:val="ListParagraph"/>
        <w:numPr>
          <w:ilvl w:val="0"/>
          <w:numId w:val="32"/>
        </w:numPr>
        <w:spacing w:after="0"/>
        <w:rPr>
          <w:b/>
          <w:bCs/>
          <w:lang w:eastAsia="zh-CN"/>
        </w:rPr>
      </w:pPr>
      <w:r>
        <w:rPr>
          <w:b/>
          <w:bCs/>
          <w:lang w:eastAsia="zh-CN"/>
        </w:rPr>
        <w:t>In the meantime, all relevant releases of TS 36.101-1 and 38.101-1 are corrected by either r</w:t>
      </w:r>
      <w:r w:rsidR="004D62D2">
        <w:rPr>
          <w:b/>
          <w:bCs/>
          <w:lang w:eastAsia="zh-CN"/>
        </w:rPr>
        <w:t>e</w:t>
      </w:r>
      <w:r>
        <w:rPr>
          <w:b/>
          <w:bCs/>
          <w:lang w:eastAsia="zh-CN"/>
        </w:rPr>
        <w:t xml:space="preserve">moving or </w:t>
      </w:r>
      <w:r w:rsidR="004D62D2">
        <w:rPr>
          <w:b/>
          <w:bCs/>
          <w:lang w:eastAsia="zh-CN"/>
        </w:rPr>
        <w:t>placing between</w:t>
      </w:r>
      <w:r>
        <w:rPr>
          <w:b/>
          <w:bCs/>
          <w:lang w:eastAsia="zh-CN"/>
        </w:rPr>
        <w:t xml:space="preserve"> brackets band n100 from the list of protected bands by band 8/n8.</w:t>
      </w:r>
    </w:p>
    <w:p w14:paraId="7BE54F94" w14:textId="77777777" w:rsidR="00305289" w:rsidRDefault="00305289" w:rsidP="00274AAC">
      <w:pPr>
        <w:pStyle w:val="Heading1"/>
        <w:tabs>
          <w:tab w:val="clear" w:pos="1152"/>
          <w:tab w:val="num" w:pos="450"/>
        </w:tabs>
        <w:ind w:left="450"/>
      </w:pPr>
      <w:r>
        <w:t>Conclusions</w:t>
      </w:r>
    </w:p>
    <w:p w14:paraId="68711531" w14:textId="4B561369" w:rsidR="00510EE8" w:rsidRDefault="00305289" w:rsidP="00C64412">
      <w:pPr>
        <w:spacing w:after="0"/>
        <w:jc w:val="both"/>
      </w:pPr>
      <w:r>
        <w:t>In this contribution</w:t>
      </w:r>
      <w:r w:rsidR="009B7F5E">
        <w:t xml:space="preserve">, we </w:t>
      </w:r>
      <w:r w:rsidR="00DD1AB1">
        <w:t xml:space="preserve">examined the band protection </w:t>
      </w:r>
      <w:r w:rsidR="00676E20">
        <w:t>of band</w:t>
      </w:r>
      <w:r w:rsidR="00DD1AB1">
        <w:t xml:space="preserve"> n10</w:t>
      </w:r>
      <w:r w:rsidR="00676E20">
        <w:t>0</w:t>
      </w:r>
      <w:r w:rsidR="00DD1AB1">
        <w:t xml:space="preserve"> </w:t>
      </w:r>
      <w:r w:rsidR="00676E20">
        <w:t xml:space="preserve">by band </w:t>
      </w:r>
      <w:proofErr w:type="gramStart"/>
      <w:r w:rsidR="00676E20">
        <w:t>n8</w:t>
      </w:r>
      <w:r w:rsidR="00DE474F">
        <w:t>,</w:t>
      </w:r>
      <w:r w:rsidR="00676E20">
        <w:t xml:space="preserve"> </w:t>
      </w:r>
      <w:r w:rsidR="00DD1AB1">
        <w:t>and</w:t>
      </w:r>
      <w:proofErr w:type="gramEnd"/>
      <w:r w:rsidR="00DD1AB1">
        <w:t xml:space="preserve"> </w:t>
      </w:r>
      <w:r w:rsidR="00DE474F">
        <w:t>discovered</w:t>
      </w:r>
      <w:r w:rsidR="00DD1AB1">
        <w:t xml:space="preserve"> </w:t>
      </w:r>
      <w:r w:rsidR="00676E20">
        <w:t>that the required level is not feasible</w:t>
      </w:r>
      <w:r w:rsidR="00DE474F">
        <w:t>. W</w:t>
      </w:r>
      <w:r w:rsidR="00676E20">
        <w:t>e thus, make the following proposal</w:t>
      </w:r>
      <w:r w:rsidR="00BF4614">
        <w:t>.</w:t>
      </w:r>
    </w:p>
    <w:p w14:paraId="46282769" w14:textId="0D7CBF7D" w:rsidR="00BF4614" w:rsidRDefault="00BF4614" w:rsidP="00C64412">
      <w:pPr>
        <w:spacing w:after="0"/>
        <w:jc w:val="both"/>
      </w:pPr>
    </w:p>
    <w:p w14:paraId="2F27E92B" w14:textId="77777777" w:rsidR="00DE474F" w:rsidRDefault="00DE474F" w:rsidP="00DE474F">
      <w:pPr>
        <w:spacing w:after="0"/>
        <w:rPr>
          <w:b/>
          <w:bCs/>
          <w:lang w:eastAsia="zh-CN"/>
        </w:rPr>
      </w:pPr>
      <w:r>
        <w:rPr>
          <w:b/>
          <w:bCs/>
          <w:lang w:eastAsia="zh-CN"/>
        </w:rPr>
        <w:t>Proposal:</w:t>
      </w:r>
    </w:p>
    <w:p w14:paraId="2928E273" w14:textId="77777777" w:rsidR="00DE474F" w:rsidRDefault="00DE474F" w:rsidP="00DE474F">
      <w:pPr>
        <w:pStyle w:val="ListParagraph"/>
        <w:numPr>
          <w:ilvl w:val="0"/>
          <w:numId w:val="32"/>
        </w:numPr>
        <w:spacing w:after="0"/>
        <w:rPr>
          <w:b/>
          <w:bCs/>
          <w:lang w:eastAsia="zh-CN"/>
        </w:rPr>
      </w:pPr>
      <w:r>
        <w:rPr>
          <w:b/>
          <w:bCs/>
          <w:lang w:eastAsia="zh-CN"/>
        </w:rPr>
        <w:t>An exact protection level of band n100 by band 8 that is achievable within a set of related conditions is studied.</w:t>
      </w:r>
    </w:p>
    <w:p w14:paraId="208428BA" w14:textId="77777777" w:rsidR="00DE474F" w:rsidRDefault="00DE474F" w:rsidP="00DE474F">
      <w:pPr>
        <w:pStyle w:val="ListParagraph"/>
        <w:numPr>
          <w:ilvl w:val="0"/>
          <w:numId w:val="32"/>
        </w:numPr>
        <w:spacing w:after="0"/>
        <w:rPr>
          <w:b/>
          <w:bCs/>
          <w:lang w:eastAsia="zh-CN"/>
        </w:rPr>
      </w:pPr>
      <w:r>
        <w:rPr>
          <w:b/>
          <w:bCs/>
          <w:lang w:eastAsia="zh-CN"/>
        </w:rPr>
        <w:t>In the meantime, all relevant releases of TS 36.101-1 and 38.101-1 are corrected by either removing or placing between brackets band n100 from the list of protected bands by band 8/n8.</w:t>
      </w:r>
    </w:p>
    <w:p w14:paraId="03D6921F" w14:textId="77777777" w:rsidR="00F10F97" w:rsidRDefault="007321E3" w:rsidP="00C8525F">
      <w:pPr>
        <w:pStyle w:val="Heading1"/>
        <w:numPr>
          <w:ilvl w:val="0"/>
          <w:numId w:val="0"/>
        </w:numPr>
        <w:jc w:val="both"/>
      </w:pPr>
      <w:r>
        <w:t>R</w:t>
      </w:r>
      <w:r w:rsidR="00F10F97">
        <w:t>eferences</w:t>
      </w:r>
    </w:p>
    <w:p w14:paraId="1F8F73A5" w14:textId="3DF2C81F" w:rsidR="0075175C" w:rsidRDefault="0075175C" w:rsidP="000732FA">
      <w:pPr>
        <w:pStyle w:val="ListParagraph"/>
        <w:widowControl w:val="0"/>
        <w:numPr>
          <w:ilvl w:val="0"/>
          <w:numId w:val="11"/>
        </w:numPr>
        <w:snapToGrid w:val="0"/>
      </w:pPr>
    </w:p>
    <w:sectPr w:rsidR="0075175C"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7B651" w14:textId="77777777" w:rsidR="00B73414" w:rsidRDefault="00B73414">
      <w:r>
        <w:separator/>
      </w:r>
    </w:p>
  </w:endnote>
  <w:endnote w:type="continuationSeparator" w:id="0">
    <w:p w14:paraId="409189EE" w14:textId="77777777" w:rsidR="00B73414" w:rsidRDefault="00B73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E2532" w:rsidRDefault="008E2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1FFF2" w14:textId="77777777" w:rsidR="00B73414" w:rsidRDefault="00B73414">
      <w:r>
        <w:separator/>
      </w:r>
    </w:p>
  </w:footnote>
  <w:footnote w:type="continuationSeparator" w:id="0">
    <w:p w14:paraId="1EBEF2DE" w14:textId="77777777" w:rsidR="00B73414" w:rsidRDefault="00B73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A324A"/>
    <w:multiLevelType w:val="hybridMultilevel"/>
    <w:tmpl w:val="33828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9E"/>
    <w:multiLevelType w:val="hybridMultilevel"/>
    <w:tmpl w:val="811484D2"/>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77567"/>
    <w:multiLevelType w:val="hybridMultilevel"/>
    <w:tmpl w:val="99A4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AC1100"/>
    <w:multiLevelType w:val="hybridMultilevel"/>
    <w:tmpl w:val="D4C4FE5A"/>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2F5C0FBD"/>
    <w:multiLevelType w:val="hybridMultilevel"/>
    <w:tmpl w:val="F118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7118A7"/>
    <w:multiLevelType w:val="hybridMultilevel"/>
    <w:tmpl w:val="2FAC4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F71F16"/>
    <w:multiLevelType w:val="hybridMultilevel"/>
    <w:tmpl w:val="A45E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20"/>
  </w:num>
  <w:num w:numId="4">
    <w:abstractNumId w:val="35"/>
  </w:num>
  <w:num w:numId="5">
    <w:abstractNumId w:val="16"/>
  </w:num>
  <w:num w:numId="6">
    <w:abstractNumId w:val="6"/>
  </w:num>
  <w:num w:numId="7">
    <w:abstractNumId w:val="21"/>
  </w:num>
  <w:num w:numId="8">
    <w:abstractNumId w:val="32"/>
  </w:num>
  <w:num w:numId="9">
    <w:abstractNumId w:val="33"/>
  </w:num>
  <w:num w:numId="10">
    <w:abstractNumId w:val="5"/>
  </w:num>
  <w:num w:numId="11">
    <w:abstractNumId w:val="13"/>
  </w:num>
  <w:num w:numId="12">
    <w:abstractNumId w:val="34"/>
  </w:num>
  <w:num w:numId="13">
    <w:abstractNumId w:val="22"/>
  </w:num>
  <w:num w:numId="14">
    <w:abstractNumId w:val="29"/>
  </w:num>
  <w:num w:numId="15">
    <w:abstractNumId w:val="18"/>
  </w:num>
  <w:num w:numId="16">
    <w:abstractNumId w:val="36"/>
  </w:num>
  <w:num w:numId="17">
    <w:abstractNumId w:val="11"/>
  </w:num>
  <w:num w:numId="18">
    <w:abstractNumId w:val="19"/>
  </w:num>
  <w:num w:numId="19">
    <w:abstractNumId w:val="3"/>
  </w:num>
  <w:num w:numId="20">
    <w:abstractNumId w:val="7"/>
  </w:num>
  <w:num w:numId="21">
    <w:abstractNumId w:val="25"/>
  </w:num>
  <w:num w:numId="22">
    <w:abstractNumId w:val="23"/>
  </w:num>
  <w:num w:numId="23">
    <w:abstractNumId w:val="12"/>
  </w:num>
  <w:num w:numId="24">
    <w:abstractNumId w:val="24"/>
  </w:num>
  <w:num w:numId="25">
    <w:abstractNumId w:val="27"/>
  </w:num>
  <w:num w:numId="26">
    <w:abstractNumId w:val="0"/>
  </w:num>
  <w:num w:numId="27">
    <w:abstractNumId w:val="26"/>
  </w:num>
  <w:num w:numId="28">
    <w:abstractNumId w:val="31"/>
  </w:num>
  <w:num w:numId="29">
    <w:abstractNumId w:val="8"/>
  </w:num>
  <w:num w:numId="30">
    <w:abstractNumId w:val="14"/>
  </w:num>
  <w:num w:numId="31">
    <w:abstractNumId w:val="30"/>
  </w:num>
  <w:num w:numId="32">
    <w:abstractNumId w:val="1"/>
  </w:num>
  <w:num w:numId="33">
    <w:abstractNumId w:val="2"/>
  </w:num>
  <w:num w:numId="34">
    <w:abstractNumId w:val="10"/>
  </w:num>
  <w:num w:numId="35">
    <w:abstractNumId w:val="28"/>
  </w:num>
  <w:num w:numId="36">
    <w:abstractNumId w:val="4"/>
  </w:num>
  <w:num w:numId="3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11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9D"/>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507"/>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15F1"/>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4E48"/>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2D2"/>
    <w:rsid w:val="004D6FEE"/>
    <w:rsid w:val="004D7704"/>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949"/>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441C"/>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6E20"/>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5C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E2B"/>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2A"/>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396"/>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14"/>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AB1"/>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74F"/>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2BE2"/>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6F4"/>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586"/>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018"/>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43"/>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2</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3797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2023-02-17T20:21:00Z</dcterms:created>
  <dcterms:modified xsi:type="dcterms:W3CDTF">2023-02-17T22:33:00Z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